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100"/>
      </w:pPr>
      <w:r>
        <w:rPr>
          <w:rFonts w:ascii="Arial" w:cs="Arial" w:eastAsia="Arial" w:hAnsi="Arial"/>
          <w:b/>
          <w:bCs/>
          <w:i w:val="false"/>
          <w:iCs w:val="false"/>
          <w:color w:val="0A4B78"/>
          <w:sz w:val="34"/>
          <w:szCs w:val="34"/>
        </w:rPr>
        <w:t xml:space="preserve">Krisenrisiken greifbar machen</w:t>
      </w:r>
    </w:p>
    <w:p>
      <w:pPr>
        <w:spacing w:after="240"/>
      </w:pPr>
      <w:r>
        <w:rPr>
          <w:rFonts w:ascii="Arial" w:cs="Arial" w:eastAsia="Arial" w:hAnsi="Arial"/>
          <w:b w:val="false"/>
          <w:bCs w:val="false"/>
          <w:i w:val="false"/>
          <w:iCs w:val="false"/>
          <w:color w:val="0077B6"/>
          <w:sz w:val="22"/>
          <w:szCs w:val="22"/>
        </w:rPr>
        <w:t xml:space="preserve">Fünf Übungen für Ihre Unterweisung zur Krisenvorsorge</w:t>
      </w:r>
    </w:p>
    <w:tbl>
      <w:tblPr>
        <w:tblW w:type="dxa" w:w="8931"/>
        <w:tblBorders>
          <w:top w:val="single" w:color="E8F4FB" w:sz="2"/>
          <w:left w:val="single" w:color="0077B6" w:sz="18"/>
          <w:bottom w:val="single" w:color="E8F4FB" w:sz="2"/>
          <w:right w:val="single" w:color="E8F4FB" w:sz="2"/>
          <w:insideH w:val="none" w:color="FFFFFF" w:sz="0"/>
          <w:insideV w:val="none" w:color="FFFFFF" w:sz="0"/>
        </w:tblBorders>
      </w:tblPr>
      <w:tblGrid>
        <w:gridCol w:w="8931"/>
      </w:tblGrid>
      <w:tr>
        <w:trPr>
          <w:cantSplit/>
        </w:trPr>
        <w:tc>
          <w:tcPr>
            <w:tcW w:type="dxa" w:w="8931"/>
            <w:shd w:fill="E8F4FB" w:val="clear"/>
            <w:tcMar>
              <w:top w:type="dxa" w:w="140"/>
              <w:left w:type="dxa" w:w="200"/>
              <w:bottom w:type="dxa" w:w="140"/>
              <w:right w:type="dxa" w:w="200"/>
            </w:tcMar>
          </w:tcPr>
          <w:p>
            <w:pPr>
              <w:spacing w:after="0" w:before="0" w:line="264"/>
            </w:pPr>
            <w:r>
              <w:rPr>
                <w:rFonts w:ascii="Arial" w:cs="Arial" w:eastAsia="Arial" w:hAnsi="Arial"/>
                <w:b w:val="false"/>
                <w:bCs w:val="false"/>
                <w:i w:val="false"/>
                <w:iCs w:val="false"/>
                <w:color w:val="1F2937"/>
                <w:sz w:val="21"/>
                <w:szCs w:val="21"/>
              </w:rPr>
              <w:t xml:space="preserve">Krisen zeigen sich im Betrieb häufig nicht als klarer Ausnahmezustand. Stattdessen verändern sich die Arbeitsbedingungen schrittweise: Materialien fehlen, Abläufe werden angepasst, Aufgaben zusätzlich übernommen. Dadurch können Tätigkeiten, die bislang als sicher galten, neue Gefährdungen mit sich bringen. Die folgenden Übungen unterstützen Sie dabei, Teilnehmende für solche indirekten Risiken zu sensibilisieren und ein sicheres Handeln unter veränderten Bedingungen zu fördern.</w:t>
            </w:r>
          </w:p>
        </w:tc>
      </w:tr>
    </w:tbl>
    <w:p>
      <w:pPr>
        <w:keepNext/>
        <w:spacing w:after="100" w:before="200" w:line="264"/>
      </w:pPr>
      <w:r>
        <w:rPr>
          <w:rFonts w:ascii="Arial" w:cs="Arial" w:eastAsia="Arial" w:hAnsi="Arial"/>
          <w:b/>
          <w:bCs/>
          <w:i w:val="false"/>
          <w:iCs w:val="false"/>
          <w:color w:val="0A4B78"/>
          <w:sz w:val="24"/>
          <w:szCs w:val="24"/>
        </w:rPr>
        <w:t xml:space="preserve">Übung 1: Veränderungen bewusst wahrnehmen</w:t>
      </w:r>
    </w:p>
    <w:p>
      <w:pPr>
        <w:spacing w:after="80" w:before="0" w:line="264"/>
      </w:pPr>
      <w:r>
        <w:rPr>
          <w:rFonts w:ascii="Arial" w:cs="Arial" w:eastAsia="Arial" w:hAnsi="Arial"/>
          <w:b w:val="false"/>
          <w:bCs w:val="false"/>
          <w:i w:val="false"/>
          <w:iCs w:val="false"/>
          <w:color w:val="1F2937"/>
          <w:sz w:val="21"/>
          <w:szCs w:val="21"/>
        </w:rPr>
        <w:t xml:space="preserve">Arbeiten Sie mit einem realistischen Szenario aus dem betrieblichen Alltag, beispielsweise einem Lieferengpass, einem kurzfristigen Personalausfall oder dem Wegfall externer Unterstützung.</w:t>
      </w:r>
    </w:p>
    <w:p>
      <w:pPr>
        <w:spacing w:after="80" w:before="0" w:line="264"/>
      </w:pPr>
      <w:r>
        <w:rPr>
          <w:rFonts w:ascii="Arial" w:cs="Arial" w:eastAsia="Arial" w:hAnsi="Arial"/>
          <w:b w:val="false"/>
          <w:bCs w:val="false"/>
          <w:i w:val="false"/>
          <w:iCs w:val="false"/>
          <w:color w:val="1F2937"/>
          <w:sz w:val="21"/>
          <w:szCs w:val="21"/>
        </w:rPr>
        <w:t xml:space="preserve">Stellen Sie den Teilnehmenden nacheinander folgende Fragen:</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Was ändert sich dadurch konkret an Ihrer täglichen Arbeit?</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Wie wird in der Praxis häufig versucht, trotzdem arbeitsfähig zu bleiben?</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Wo können dadurch neue Gefährdungen entstehen?</w:t>
      </w:r>
    </w:p>
    <w:tbl>
      <w:tblPr>
        <w:tblW w:type="dxa" w:w="8931"/>
        <w:tblBorders>
          <w:top w:val="single" w:color="E8F4FB" w:sz="2"/>
          <w:left w:val="single" w:color="0077B6" w:sz="18"/>
          <w:bottom w:val="single" w:color="E8F4FB" w:sz="2"/>
          <w:right w:val="single" w:color="E8F4FB" w:sz="2"/>
          <w:insideH w:val="none" w:color="FFFFFF" w:sz="0"/>
          <w:insideV w:val="none" w:color="FFFFFF" w:sz="0"/>
        </w:tblBorders>
      </w:tblPr>
      <w:tblGrid>
        <w:gridCol w:w="8931"/>
      </w:tblGrid>
      <w:tr>
        <w:trPr>
          <w:cantSplit/>
        </w:trPr>
        <w:tc>
          <w:tcPr>
            <w:tcW w:type="dxa" w:w="8931"/>
            <w:shd w:fill="E8F4FB" w:val="clear"/>
            <w:tcMar>
              <w:top w:type="dxa" w:w="140"/>
              <w:left w:type="dxa" w:w="200"/>
              <w:bottom w:type="dxa" w:w="140"/>
              <w:right w:type="dxa" w:w="200"/>
            </w:tcMar>
          </w:tcPr>
          <w:p>
            <w:pPr>
              <w:spacing w:after="80"/>
            </w:pPr>
            <w:r>
              <w:rPr>
                <w:rFonts w:ascii="Arial" w:cs="Arial" w:eastAsia="Arial" w:hAnsi="Arial"/>
                <w:b/>
                <w:bCs/>
                <w:i w:val="false"/>
                <w:iCs w:val="false"/>
                <w:color w:val="0A4B78"/>
                <w:sz w:val="22"/>
                <w:szCs w:val="22"/>
              </w:rPr>
              <w:t xml:space="preserve">Das arbeiten Sie heraus</w:t>
            </w:r>
          </w:p>
          <w:p>
            <w:pPr>
              <w:spacing w:after="0" w:before="0" w:line="264"/>
            </w:pPr>
            <w:r>
              <w:rPr>
                <w:rFonts w:ascii="Arial" w:cs="Arial" w:eastAsia="Arial" w:hAnsi="Arial"/>
                <w:b w:val="false"/>
                <w:bCs w:val="false"/>
                <w:i w:val="false"/>
                <w:iCs w:val="false"/>
                <w:color w:val="1F2937"/>
                <w:sz w:val="21"/>
                <w:szCs w:val="21"/>
              </w:rPr>
              <w:t xml:space="preserve">Halten Sie die Antworten sichtbar fest. Ziel der Übung ist es, deutlich zu machen, dass Risiken häufig nicht durch das Ereignis selbst, sondern durch angepasste oder improvisierte Arbeitsweisen entstehen.</w:t>
            </w:r>
          </w:p>
        </w:tc>
      </w:tr>
    </w:tbl>
    <w:p>
      <w:pPr>
        <w:keepNext/>
        <w:spacing w:after="100" w:before="200" w:line="264"/>
      </w:pPr>
      <w:r>
        <w:rPr>
          <w:rFonts w:ascii="Arial" w:cs="Arial" w:eastAsia="Arial" w:hAnsi="Arial"/>
          <w:b/>
          <w:bCs/>
          <w:i w:val="false"/>
          <w:iCs w:val="false"/>
          <w:color w:val="0A4B78"/>
          <w:sz w:val="24"/>
          <w:szCs w:val="24"/>
        </w:rPr>
        <w:t xml:space="preserve">Übung 2: Gefährdungsveränderungen unter Stress erkennen</w:t>
      </w:r>
    </w:p>
    <w:p>
      <w:pPr>
        <w:spacing w:after="80" w:before="0" w:line="264"/>
      </w:pPr>
      <w:r>
        <w:rPr>
          <w:rFonts w:ascii="Arial" w:cs="Arial" w:eastAsia="Arial" w:hAnsi="Arial"/>
          <w:b w:val="false"/>
          <w:bCs w:val="false"/>
          <w:i w:val="false"/>
          <w:iCs w:val="false"/>
          <w:color w:val="1F2937"/>
          <w:sz w:val="21"/>
          <w:szCs w:val="21"/>
        </w:rPr>
        <w:t xml:space="preserve">Wählen Sie einen bekannten Arbeitsplatz oder eine typische Tätigkeit aus dem Betrieb. Bitten Sie die Teilnehmenden, die ihnen bekannten Schutzmaßnahmen oder Betriebsanweisungen zu benennen, die für diese Tätigkeit gelten.</w:t>
      </w:r>
    </w:p>
    <w:p>
      <w:pPr>
        <w:spacing w:after="80" w:before="0" w:line="264"/>
      </w:pPr>
      <w:r>
        <w:rPr>
          <w:rFonts w:ascii="Arial" w:cs="Arial" w:eastAsia="Arial" w:hAnsi="Arial"/>
          <w:b w:val="false"/>
          <w:bCs w:val="false"/>
          <w:i w:val="false"/>
          <w:iCs w:val="false"/>
          <w:color w:val="1F2937"/>
          <w:sz w:val="21"/>
          <w:szCs w:val="21"/>
        </w:rPr>
        <w:t xml:space="preserve">Verändern Sie anschließend gezielt eine der Rahmenbedingungen, z. B.:</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ein gewohntes Arbeitsmittel ist nicht verfügbar</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ein Ersatzstoff oder ein anderes Verfahren wird eingesetzt</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zusätzliche Aufgaben kommen hinzu, weil Personal fehlt</w:t>
      </w:r>
    </w:p>
    <w:p>
      <w:pPr>
        <w:spacing w:after="80" w:before="0" w:line="264"/>
      </w:pPr>
      <w:r>
        <w:rPr>
          <w:rFonts w:ascii="Arial" w:cs="Arial" w:eastAsia="Arial" w:hAnsi="Arial"/>
          <w:b w:val="false"/>
          <w:bCs w:val="false"/>
          <w:i w:val="false"/>
          <w:iCs w:val="false"/>
          <w:color w:val="1F2937"/>
          <w:sz w:val="21"/>
          <w:szCs w:val="21"/>
        </w:rPr>
        <w:t xml:space="preserve">Stellen Sie danach folgende Fragen:</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Welche bekannten Schutzmaßnahmen passen unter diesen Bedingungen nicht mehr vollständig?</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Wo entstehen neue oder erhöhte Gefährdungen?</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Woran würden Sie im Arbeitsalltag merken, dass die Situation nicht mehr sicher ist?</w:t>
      </w:r>
    </w:p>
    <w:tbl>
      <w:tblPr>
        <w:tblW w:type="dxa" w:w="8931"/>
        <w:tblBorders>
          <w:top w:val="single" w:color="E8F4FB" w:sz="2"/>
          <w:left w:val="single" w:color="0077B6" w:sz="18"/>
          <w:bottom w:val="single" w:color="E8F4FB" w:sz="2"/>
          <w:right w:val="single" w:color="E8F4FB" w:sz="2"/>
          <w:insideH w:val="none" w:color="FFFFFF" w:sz="0"/>
          <w:insideV w:val="none" w:color="FFFFFF" w:sz="0"/>
        </w:tblBorders>
      </w:tblPr>
      <w:tblGrid>
        <w:gridCol w:w="8931"/>
      </w:tblGrid>
      <w:tr>
        <w:trPr>
          <w:cantSplit/>
        </w:trPr>
        <w:tc>
          <w:tcPr>
            <w:tcW w:type="dxa" w:w="8931"/>
            <w:shd w:fill="E8F4FB" w:val="clear"/>
            <w:tcMar>
              <w:top w:type="dxa" w:w="140"/>
              <w:left w:type="dxa" w:w="200"/>
              <w:bottom w:type="dxa" w:w="140"/>
              <w:right w:type="dxa" w:w="200"/>
            </w:tcMar>
          </w:tcPr>
          <w:p>
            <w:pPr>
              <w:spacing w:after="80"/>
            </w:pPr>
            <w:r>
              <w:rPr>
                <w:rFonts w:ascii="Arial" w:cs="Arial" w:eastAsia="Arial" w:hAnsi="Arial"/>
                <w:b/>
                <w:bCs/>
                <w:i w:val="false"/>
                <w:iCs w:val="false"/>
                <w:color w:val="0A4B78"/>
                <w:sz w:val="22"/>
                <w:szCs w:val="22"/>
              </w:rPr>
              <w:t xml:space="preserve">Das arbeiten Sie heraus</w:t>
            </w:r>
          </w:p>
          <w:p>
            <w:pPr>
              <w:spacing w:after="0" w:before="0" w:line="264"/>
            </w:pPr>
            <w:r>
              <w:rPr>
                <w:rFonts w:ascii="Arial" w:cs="Arial" w:eastAsia="Arial" w:hAnsi="Arial"/>
                <w:b w:val="false"/>
                <w:bCs w:val="false"/>
                <w:i w:val="false"/>
                <w:iCs w:val="false"/>
                <w:color w:val="1F2937"/>
                <w:sz w:val="21"/>
                <w:szCs w:val="21"/>
              </w:rPr>
              <w:t xml:space="preserve">Beschäftigte erstellen keine Gefährdungsbeurteilungen. Ihre Rolle besteht darin, Veränderungen und neue Risiken zu erkennen und zu melden, damit Schutzmaßnahmen überprüft und angepasst werden können.</w:t>
            </w:r>
          </w:p>
        </w:tc>
      </w:tr>
    </w:tbl>
    <w:p>
      <w:pPr>
        <w:keepNext/>
        <w:spacing w:after="100" w:before="200" w:line="264"/>
      </w:pPr>
      <w:r>
        <w:rPr>
          <w:rFonts w:ascii="Arial" w:cs="Arial" w:eastAsia="Arial" w:hAnsi="Arial"/>
          <w:b/>
          <w:bCs/>
          <w:i w:val="false"/>
          <w:iCs w:val="false"/>
          <w:color w:val="0A4B78"/>
          <w:sz w:val="24"/>
          <w:szCs w:val="24"/>
        </w:rPr>
        <w:t xml:space="preserve">Übung 3: Entscheidungen unter Zeitdruck reflektieren</w:t>
      </w:r>
    </w:p>
    <w:p>
      <w:pPr>
        <w:spacing w:after="80" w:before="0" w:line="264"/>
      </w:pPr>
      <w:r>
        <w:rPr>
          <w:rFonts w:ascii="Arial" w:cs="Arial" w:eastAsia="Arial" w:hAnsi="Arial"/>
          <w:b w:val="false"/>
          <w:bCs w:val="false"/>
          <w:i w:val="false"/>
          <w:iCs w:val="false"/>
          <w:color w:val="1F2937"/>
          <w:sz w:val="21"/>
          <w:szCs w:val="21"/>
        </w:rPr>
        <w:t xml:space="preserve">Beschreiben Sie eine Situation, in der kurzfristig entschieden werden muss, z. B. über den Ausfall eines wichtigen Arbeitsmittels ohne freigegebenen Ersatz.</w:t>
      </w:r>
    </w:p>
    <w:p>
      <w:pPr>
        <w:spacing w:after="80" w:before="0" w:line="264"/>
      </w:pPr>
      <w:r>
        <w:rPr>
          <w:rFonts w:ascii="Arial" w:cs="Arial" w:eastAsia="Arial" w:hAnsi="Arial"/>
          <w:b w:val="false"/>
          <w:bCs w:val="false"/>
          <w:i w:val="false"/>
          <w:iCs w:val="false"/>
          <w:color w:val="1F2937"/>
          <w:sz w:val="21"/>
          <w:szCs w:val="21"/>
        </w:rPr>
        <w:t xml:space="preserve">Bitten Sie die Teilnehmenden, eine Vorgehensweise zu benennen und diese zu begründen. Nutzen Sie die Rückmeldungen für eine gemeinsame Reflexion:</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Welche Sicherheitsregeln geraten unter Zeitdruck zuerst ins Wanken?</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Wo entsteht zusätzlicher Druck durch Erwartungen, Verantwortung oder Produktionsziele?</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Welche sichere Handlungsoption wäre möglich gewesen, auch wenn sie unbequem ist?</w:t>
      </w:r>
    </w:p>
    <w:tbl>
      <w:tblPr>
        <w:tblW w:type="dxa" w:w="8931"/>
        <w:tblBorders>
          <w:top w:val="single" w:color="E8F4FB" w:sz="2"/>
          <w:left w:val="single" w:color="0077B6" w:sz="18"/>
          <w:bottom w:val="single" w:color="E8F4FB" w:sz="2"/>
          <w:right w:val="single" w:color="E8F4FB" w:sz="2"/>
          <w:insideH w:val="none" w:color="FFFFFF" w:sz="0"/>
          <w:insideV w:val="none" w:color="FFFFFF" w:sz="0"/>
        </w:tblBorders>
      </w:tblPr>
      <w:tblGrid>
        <w:gridCol w:w="8931"/>
      </w:tblGrid>
      <w:tr>
        <w:trPr>
          <w:cantSplit/>
        </w:trPr>
        <w:tc>
          <w:tcPr>
            <w:tcW w:type="dxa" w:w="8931"/>
            <w:shd w:fill="E8F4FB" w:val="clear"/>
            <w:tcMar>
              <w:top w:type="dxa" w:w="140"/>
              <w:left w:type="dxa" w:w="200"/>
              <w:bottom w:type="dxa" w:w="140"/>
              <w:right w:type="dxa" w:w="200"/>
            </w:tcMar>
          </w:tcPr>
          <w:p>
            <w:pPr>
              <w:spacing w:after="80"/>
            </w:pPr>
            <w:r>
              <w:rPr>
                <w:rFonts w:ascii="Arial" w:cs="Arial" w:eastAsia="Arial" w:hAnsi="Arial"/>
                <w:b/>
                <w:bCs/>
                <w:i w:val="false"/>
                <w:iCs w:val="false"/>
                <w:color w:val="0A4B78"/>
                <w:sz w:val="22"/>
                <w:szCs w:val="22"/>
              </w:rPr>
              <w:t xml:space="preserve">Das arbeiten Sie heraus</w:t>
            </w:r>
          </w:p>
          <w:p>
            <w:pPr>
              <w:spacing w:after="0" w:before="0" w:line="264"/>
            </w:pPr>
            <w:r>
              <w:rPr>
                <w:rFonts w:ascii="Arial" w:cs="Arial" w:eastAsia="Arial" w:hAnsi="Arial"/>
                <w:b w:val="false"/>
                <w:bCs w:val="false"/>
                <w:i w:val="false"/>
                <w:iCs w:val="false"/>
                <w:color w:val="1F2937"/>
                <w:sz w:val="21"/>
                <w:szCs w:val="21"/>
              </w:rPr>
              <w:t xml:space="preserve">Die Übung macht typische Entscheidungsmuster unter Stress sichtbar.</w:t>
            </w:r>
          </w:p>
        </w:tc>
      </w:tr>
    </w:tbl>
    <w:p>
      <w:pPr>
        <w:keepNext/>
        <w:spacing w:after="100" w:before="200" w:line="264"/>
      </w:pPr>
      <w:r>
        <w:rPr>
          <w:rFonts w:ascii="Arial" w:cs="Arial" w:eastAsia="Arial" w:hAnsi="Arial"/>
          <w:b/>
          <w:bCs/>
          <w:i w:val="false"/>
          <w:iCs w:val="false"/>
          <w:color w:val="0A4B78"/>
          <w:sz w:val="24"/>
          <w:szCs w:val="24"/>
        </w:rPr>
        <w:t xml:space="preserve">Übung 4: Improvisation sachlich bewerten</w:t>
      </w:r>
    </w:p>
    <w:p>
      <w:pPr>
        <w:spacing w:after="80" w:before="0" w:line="264"/>
      </w:pPr>
      <w:r>
        <w:rPr>
          <w:rFonts w:ascii="Arial" w:cs="Arial" w:eastAsia="Arial" w:hAnsi="Arial"/>
          <w:b w:val="false"/>
          <w:bCs w:val="false"/>
          <w:i w:val="false"/>
          <w:iCs w:val="false"/>
          <w:color w:val="1F2937"/>
          <w:sz w:val="21"/>
          <w:szCs w:val="21"/>
        </w:rPr>
        <w:t xml:space="preserve">Improvisierte Arbeitsbedingungen bergen immer ein erhöhtes Risiko. Sprechen Sie typische Improvisationen offen an und greifen Sie Beispiele aus dem betrieblichen Alltag auf. Lassen Sie jede Situation gemeinsam einordnen. Ist die entsprechende Improvisation</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kurzfristig vertretbar</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nur mit zusätzlichen Maßnahmen zulässig</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klar unzulässig?</w:t>
      </w:r>
    </w:p>
    <w:tbl>
      <w:tblPr>
        <w:tblW w:type="dxa" w:w="8931"/>
        <w:tblBorders>
          <w:top w:val="single" w:color="E8F4FB" w:sz="2"/>
          <w:left w:val="single" w:color="0077B6" w:sz="18"/>
          <w:bottom w:val="single" w:color="E8F4FB" w:sz="2"/>
          <w:right w:val="single" w:color="E8F4FB" w:sz="2"/>
          <w:insideH w:val="none" w:color="FFFFFF" w:sz="0"/>
          <w:insideV w:val="none" w:color="FFFFFF" w:sz="0"/>
        </w:tblBorders>
      </w:tblPr>
      <w:tblGrid>
        <w:gridCol w:w="8931"/>
      </w:tblGrid>
      <w:tr>
        <w:trPr>
          <w:cantSplit/>
        </w:trPr>
        <w:tc>
          <w:tcPr>
            <w:tcW w:type="dxa" w:w="8931"/>
            <w:shd w:fill="E8F4FB" w:val="clear"/>
            <w:tcMar>
              <w:top w:type="dxa" w:w="140"/>
              <w:left w:type="dxa" w:w="200"/>
              <w:bottom w:type="dxa" w:w="140"/>
              <w:right w:type="dxa" w:w="200"/>
            </w:tcMar>
          </w:tcPr>
          <w:p>
            <w:pPr>
              <w:spacing w:after="80"/>
            </w:pPr>
            <w:r>
              <w:rPr>
                <w:rFonts w:ascii="Arial" w:cs="Arial" w:eastAsia="Arial" w:hAnsi="Arial"/>
                <w:b/>
                <w:bCs/>
                <w:i w:val="false"/>
                <w:iCs w:val="false"/>
                <w:color w:val="0A4B78"/>
                <w:sz w:val="22"/>
                <w:szCs w:val="22"/>
              </w:rPr>
              <w:t xml:space="preserve">Das arbeiten Sie heraus</w:t>
            </w:r>
          </w:p>
          <w:p>
            <w:pPr>
              <w:spacing w:after="0" w:before="0" w:line="264"/>
            </w:pPr>
            <w:r>
              <w:rPr>
                <w:rFonts w:ascii="Arial" w:cs="Arial" w:eastAsia="Arial" w:hAnsi="Arial"/>
                <w:b w:val="false"/>
                <w:bCs w:val="false"/>
                <w:i w:val="false"/>
                <w:iCs w:val="false"/>
                <w:color w:val="1F2937"/>
                <w:sz w:val="21"/>
                <w:szCs w:val="21"/>
              </w:rPr>
              <w:t xml:space="preserve">Begründen Sie die Einstufungen gemeinsam. Ziel ist es, ein gemeinsames Verständnis dafür zu entwickeln, dass Krisenvorsorge nicht bedeutet, Regeln außer Kraft zu setzen, sondern Grenzen bewusst zu erkennen und einzuhalten.</w:t>
            </w:r>
          </w:p>
        </w:tc>
      </w:tr>
    </w:tbl>
    <w:p>
      <w:pPr>
        <w:keepNext/>
        <w:spacing w:after="100" w:before="200" w:line="264"/>
      </w:pPr>
      <w:r>
        <w:rPr>
          <w:rFonts w:ascii="Arial" w:cs="Arial" w:eastAsia="Arial" w:hAnsi="Arial"/>
          <w:b/>
          <w:bCs/>
          <w:i w:val="false"/>
          <w:iCs w:val="false"/>
          <w:color w:val="0A4B78"/>
          <w:sz w:val="24"/>
          <w:szCs w:val="24"/>
        </w:rPr>
        <w:t xml:space="preserve">Übung 5: Verantwortung und Handlungsspielräume klären</w:t>
      </w:r>
    </w:p>
    <w:p>
      <w:pPr>
        <w:spacing w:after="80" w:before="0" w:line="264"/>
      </w:pPr>
      <w:r>
        <w:rPr>
          <w:rFonts w:ascii="Arial" w:cs="Arial" w:eastAsia="Arial" w:hAnsi="Arial"/>
          <w:b w:val="false"/>
          <w:bCs w:val="false"/>
          <w:i w:val="false"/>
          <w:iCs w:val="false"/>
          <w:color w:val="1F2937"/>
          <w:sz w:val="21"/>
          <w:szCs w:val="21"/>
        </w:rPr>
        <w:t xml:space="preserve">Nutzen Sie diese Übung, um Zuständigkeiten sauber voneinander abzugrenzen. Gerade in Krisen geraten feste und etablierte Zuständigkeiten oft ins Wanken. Stellen Sie den Teilnehmenden die Frage:</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Was kann der Einzelne im Arbeitsalltag in Hinsicht auf mögliche Krisen beachten und vorbereiten?</w:t>
      </w:r>
    </w:p>
    <w:p>
      <w:pPr>
        <w:spacing w:after="50" w:before="0" w:line="265"/>
        <w:ind w:left="340" w:hanging="200"/>
      </w:pPr>
      <w:r>
        <w:rPr>
          <w:rFonts w:ascii="Arial" w:cs="Arial" w:eastAsia="Arial" w:hAnsi="Arial"/>
          <w:b w:val="false"/>
          <w:bCs w:val="false"/>
          <w:i w:val="false"/>
          <w:iCs w:val="false"/>
          <w:color w:val="0077B6"/>
          <w:sz w:val="21"/>
          <w:szCs w:val="21"/>
        </w:rPr>
        <w:t xml:space="preserve">■  </w:t>
      </w:r>
      <w:r>
        <w:rPr>
          <w:rFonts w:ascii="Arial" w:cs="Arial" w:eastAsia="Arial" w:hAnsi="Arial"/>
          <w:b w:val="false"/>
          <w:bCs w:val="false"/>
          <w:i w:val="false"/>
          <w:iCs w:val="false"/>
          <w:color w:val="1F2937"/>
          <w:sz w:val="21"/>
          <w:szCs w:val="21"/>
        </w:rPr>
        <w:t xml:space="preserve">Welche Regelungen und Maßnahmen liegen in der Verantwortung des Betriebs?</w:t>
      </w:r>
    </w:p>
    <w:tbl>
      <w:tblPr>
        <w:tblW w:type="dxa" w:w="8931"/>
        <w:tblBorders>
          <w:top w:val="single" w:color="E8F4FB" w:sz="2"/>
          <w:left w:val="single" w:color="0077B6" w:sz="18"/>
          <w:bottom w:val="single" w:color="E8F4FB" w:sz="2"/>
          <w:right w:val="single" w:color="E8F4FB" w:sz="2"/>
          <w:insideH w:val="none" w:color="FFFFFF" w:sz="0"/>
          <w:insideV w:val="none" w:color="FFFFFF" w:sz="0"/>
        </w:tblBorders>
      </w:tblPr>
      <w:tblGrid>
        <w:gridCol w:w="8931"/>
      </w:tblGrid>
      <w:tr>
        <w:trPr>
          <w:cantSplit/>
        </w:trPr>
        <w:tc>
          <w:tcPr>
            <w:tcW w:type="dxa" w:w="8931"/>
            <w:shd w:fill="E8F4FB" w:val="clear"/>
            <w:tcMar>
              <w:top w:type="dxa" w:w="140"/>
              <w:left w:type="dxa" w:w="200"/>
              <w:bottom w:type="dxa" w:w="140"/>
              <w:right w:type="dxa" w:w="200"/>
            </w:tcMar>
          </w:tcPr>
          <w:p>
            <w:pPr>
              <w:spacing w:after="80"/>
            </w:pPr>
            <w:r>
              <w:rPr>
                <w:rFonts w:ascii="Arial" w:cs="Arial" w:eastAsia="Arial" w:hAnsi="Arial"/>
                <w:b/>
                <w:bCs/>
                <w:i w:val="false"/>
                <w:iCs w:val="false"/>
                <w:color w:val="0A4B78"/>
                <w:sz w:val="22"/>
                <w:szCs w:val="22"/>
              </w:rPr>
              <w:t xml:space="preserve">Das arbeiten Sie heraus</w:t>
            </w:r>
          </w:p>
          <w:p>
            <w:pPr>
              <w:spacing w:after="0" w:before="0" w:line="264"/>
            </w:pPr>
            <w:r>
              <w:rPr>
                <w:rFonts w:ascii="Arial" w:cs="Arial" w:eastAsia="Arial" w:hAnsi="Arial"/>
                <w:b w:val="false"/>
                <w:bCs w:val="false"/>
                <w:i w:val="false"/>
                <w:iCs w:val="false"/>
                <w:color w:val="1F2937"/>
                <w:sz w:val="21"/>
                <w:szCs w:val="21"/>
              </w:rPr>
              <w:t xml:space="preserve">Ordnen Sie die Beispiele gemeinsam zu, etwa Vertretungsregelungen, Qualifikationssicherung, Materialverfügbarkeit oder Kommunikationswege bei Störungen, Notfällen oder sonstigen Ausnahmesituationen. Die Übung hilft, Missverständnisse zu vermeiden und die eigene Rolle realistisch einzuordnen.</w:t>
            </w:r>
          </w:p>
        </w:tc>
      </w:tr>
    </w:tbl>
    <w:p>
      <w:pPr>
        <w:keepNext/>
        <w:spacing w:after="100" w:before="200" w:line="264"/>
      </w:pPr>
      <w:r>
        <w:rPr>
          <w:rFonts w:ascii="Arial" w:cs="Arial" w:eastAsia="Arial" w:hAnsi="Arial"/>
          <w:b/>
          <w:bCs/>
          <w:i w:val="false"/>
          <w:iCs w:val="false"/>
          <w:color w:val="0A4B78"/>
          <w:sz w:val="24"/>
          <w:szCs w:val="24"/>
        </w:rPr>
        <w:t xml:space="preserve">Fazit</w:t>
      </w:r>
    </w:p>
    <w:p>
      <w:pPr>
        <w:spacing w:after="80" w:before="0" w:line="264"/>
      </w:pPr>
      <w:r>
        <w:rPr>
          <w:rFonts w:ascii="Arial" w:cs="Arial" w:eastAsia="Arial" w:hAnsi="Arial"/>
          <w:b w:val="false"/>
          <w:bCs w:val="false"/>
          <w:i w:val="false"/>
          <w:iCs w:val="false"/>
          <w:color w:val="1F2937"/>
          <w:sz w:val="21"/>
          <w:szCs w:val="21"/>
        </w:rPr>
        <w:t xml:space="preserve">Krisenvorsorge bedeutet nicht, jedes Szenario vorherzusehen. Entscheidend ist, Veränderungen früh wahrzunehmen, Risiken neu zu erkennen und Sicherheit auch unter außergewöhnlichen Bedingungen konsequent mitzudenken.</w:t>
      </w:r>
    </w:p>
    <w:sectPr w:rsidR="00A9080C" w:rsidRPr="00530A6E" w:rsidSect="00A9080C">
      <w:headerReference w:type="even" r:id="rId11"/>
      <w:headerReference w:type="default" r:id="rId12"/>
      <w:footerReference w:type="even" r:id="rId13"/>
      <w:footerReference w:type="default" r:id="rId14"/>
      <w:headerReference w:type="first" r:id="rId15"/>
      <w:footerReference w:type="first" r:id="rId16"/>
      <w:pgSz w:w="11906" w:h="16838" w:code="9"/>
      <w:pgMar w:top="1613" w:right="1558" w:bottom="1134" w:left="1417" w:header="0" w:footer="50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F5AAF" w14:textId="77777777" w:rsidR="001C45E9" w:rsidRDefault="001C45E9" w:rsidP="008B0457">
      <w:pPr>
        <w:spacing w:line="240" w:lineRule="auto"/>
      </w:pPr>
      <w:r>
        <w:separator/>
      </w:r>
    </w:p>
  </w:endnote>
  <w:endnote w:type="continuationSeparator" w:id="0">
    <w:p w14:paraId="3BDDC6BB" w14:textId="77777777" w:rsidR="001C45E9" w:rsidRDefault="001C45E9" w:rsidP="008B04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Zapf Dingbats">
    <w:altName w:val="Wingdings"/>
    <w:panose1 w:val="020B0604020202020204"/>
    <w:charset w:val="02"/>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6BB4" w14:textId="77777777" w:rsidR="00E5534B" w:rsidRDefault="00E5534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CF8D" w14:textId="1E705724" w:rsidR="002B1C90" w:rsidRPr="00530A6E" w:rsidRDefault="00FD2B26" w:rsidP="00E30887">
    <w:pPr>
      <w:pStyle w:val="Fuzeile"/>
      <w:tabs>
        <w:tab w:val="right" w:pos="4320"/>
      </w:tabs>
      <w:ind w:firstLine="720"/>
      <w:rPr>
        <w:rFonts w:ascii="Arial" w:hAnsi="Arial"/>
        <w:noProof/>
        <w:sz w:val="16"/>
        <w:lang w:bidi="de-DE"/>
      </w:rPr>
    </w:pPr>
    <w:r>
      <w:rPr>
        <w:noProof/>
        <w:lang w:eastAsia="de-DE"/>
      </w:rPr>
      <mc:AlternateContent>
        <mc:Choice Requires="wps">
          <w:drawing>
            <wp:anchor distT="0" distB="0" distL="114300" distR="114300" simplePos="0" relativeHeight="251657728" behindDoc="1" locked="1" layoutInCell="1" allowOverlap="1" wp14:anchorId="60066430" wp14:editId="703E7A06">
              <wp:simplePos x="0" y="0"/>
              <wp:positionH relativeFrom="page">
                <wp:posOffset>3695700</wp:posOffset>
              </wp:positionH>
              <wp:positionV relativeFrom="page">
                <wp:posOffset>6400800</wp:posOffset>
              </wp:positionV>
              <wp:extent cx="609600" cy="8001000"/>
              <wp:effectExtent l="12700" t="0" r="12700" b="12700"/>
              <wp:wrapNone/>
              <wp:docPr id="1"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37401"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91pt;margin-top:7in;width:48pt;height:630pt;rotation:90;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" fillcolor="#009fe4" stroked="f">
              <v:textbox inset=",7.2pt,,7.2pt"/>
              <w10:wrap anchorx="page" anchory="page"/>
              <w10:anchorlock/>
            </v:shape>
          </w:pict>
        </mc:Fallback>
      </mc:AlternateContent>
    </w:r>
    <w:r w:rsidR="00C67D68" w:rsidRPr="00530A6E">
      <w:rPr>
        <w:rFonts w:ascii="Arial" w:hAnsi="Arial"/>
        <w:sz w:val="18"/>
        <w:lang w:bidi="de-DE"/>
      </w:rPr>
      <w:t xml:space="preserve">© </w:t>
    </w:r>
    <w:r w:rsidR="006A5CC8">
      <w:rPr>
        <w:rFonts w:ascii="Arial" w:hAnsi="Arial"/>
        <w:sz w:val="18"/>
        <w:lang w:bidi="de-DE"/>
      </w:rPr>
      <w:t>2026</w:t>
    </w:r>
    <w:r w:rsidR="00D11EAF">
      <w:rPr>
        <w:rFonts w:ascii="Arial" w:hAnsi="Arial"/>
        <w:sz w:val="18"/>
        <w:lang w:bidi="de-DE"/>
      </w:rPr>
      <w:t xml:space="preserve"> </w:t>
    </w:r>
    <w:r w:rsidR="00C67D68" w:rsidRPr="00530A6E">
      <w:rPr>
        <w:rFonts w:ascii="Arial" w:hAnsi="Arial"/>
        <w:sz w:val="18"/>
        <w:lang w:bidi="de-DE"/>
      </w:rPr>
      <w:t xml:space="preserve">SafetyXperts</w:t>
    </w:r>
    <w:r w:rsidR="003F7E3D" w:rsidRPr="00530A6E">
      <w:rPr>
        <w:rFonts w:ascii="Arial" w:hAnsi="Arial"/>
        <w:sz w:val="18"/>
        <w:lang w:bidi="de-DE"/>
      </w:rPr>
      <w:t/>
    </w:r>
    <w:r w:rsidR="00E30887">
      <w:rPr>
        <w:rFonts w:ascii="Arial" w:hAnsi="Arial"/>
        <w:sz w:val="18"/>
        <w:lang w:bidi="de-DE"/>
      </w:rPr>
      <w:tab/>
    </w:r>
    <w:r w:rsidR="00C67D68" w:rsidRPr="00530A6E">
      <w:rPr>
        <w:rFonts w:ascii="Arial" w:hAnsi="Arial"/>
        <w:sz w:val="16"/>
        <w:lang w:bidi="de-DE"/>
      </w:rPr>
      <w:tab/>
    </w:r>
    <w:r w:rsidR="002B1C90" w:rsidRPr="00530A6E">
      <w:rPr>
        <w:rFonts w:ascii="Arial" w:hAnsi="Arial"/>
        <w:sz w:val="16"/>
        <w:lang w:bidi="de-DE"/>
      </w:rPr>
      <w:t xml:space="preserve">Seite </w:t>
    </w:r>
    <w:r w:rsidR="00585E82" w:rsidRPr="00530A6E">
      <w:rPr>
        <w:rFonts w:ascii="Arial" w:hAnsi="Arial"/>
        <w:sz w:val="20"/>
        <w:lang w:bidi="de-DE"/>
      </w:rPr>
      <w:fldChar w:fldCharType="begin"/>
    </w:r>
    <w:r w:rsidR="00585E82" w:rsidRPr="00530A6E">
      <w:rPr>
        <w:rFonts w:ascii="Arial" w:hAnsi="Arial"/>
        <w:sz w:val="20"/>
        <w:lang w:bidi="de-DE"/>
      </w:rPr>
      <w:instrText xml:space="preserve"> </w:instrText>
    </w:r>
    <w:r w:rsidR="00D0768F">
      <w:rPr>
        <w:rFonts w:ascii="Arial" w:hAnsi="Arial"/>
        <w:sz w:val="20"/>
        <w:lang w:bidi="de-DE"/>
      </w:rPr>
      <w:instrText>PAGE</w:instrText>
    </w:r>
    <w:r w:rsidR="00585E82" w:rsidRPr="00530A6E">
      <w:rPr>
        <w:rFonts w:ascii="Arial" w:hAnsi="Arial"/>
        <w:sz w:val="20"/>
        <w:lang w:bidi="de-DE"/>
      </w:rPr>
      <w:instrText xml:space="preserve">  \* MERGEFORMAT </w:instrText>
    </w:r>
    <w:r w:rsidR="00585E82" w:rsidRPr="00530A6E">
      <w:rPr>
        <w:rFonts w:ascii="Arial" w:hAnsi="Arial"/>
        <w:sz w:val="20"/>
        <w:lang w:bidi="de-DE"/>
      </w:rPr>
      <w:fldChar w:fldCharType="separate"/>
    </w:r>
    <w:r w:rsidR="00B1424D" w:rsidRPr="00B1424D">
      <w:rPr>
        <w:rFonts w:ascii="Arial" w:hAnsi="Arial"/>
        <w:noProof/>
        <w:sz w:val="16"/>
        <w:lang w:bidi="de-DE"/>
      </w:rPr>
      <w:t>1</w:t>
    </w:r>
    <w:r w:rsidR="00585E82" w:rsidRPr="00530A6E">
      <w:rPr>
        <w:rFonts w:ascii="Arial" w:hAnsi="Arial"/>
        <w:noProof/>
        <w:sz w:val="16"/>
        <w:lang w:bidi="de-DE"/>
      </w:rPr>
      <w:fldChar w:fldCharType="end"/>
    </w:r>
  </w:p>
  <w:p w14:paraId="06581EEE" w14:textId="77777777" w:rsidR="00C67D68" w:rsidRPr="00C67D68" w:rsidRDefault="00C67D68" w:rsidP="00C67D68">
    <w:pPr>
      <w:pStyle w:val="Fuzeile"/>
      <w:ind w:firstLine="72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AF23" w14:textId="77777777" w:rsidR="00E5534B" w:rsidRDefault="00E5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3A62B" w14:textId="77777777" w:rsidR="001C45E9" w:rsidRDefault="001C45E9" w:rsidP="008B0457">
      <w:pPr>
        <w:spacing w:line="240" w:lineRule="auto"/>
      </w:pPr>
      <w:r>
        <w:separator/>
      </w:r>
    </w:p>
  </w:footnote>
  <w:footnote w:type="continuationSeparator" w:id="0">
    <w:p w14:paraId="4C881FE2" w14:textId="77777777" w:rsidR="001C45E9" w:rsidRDefault="001C45E9" w:rsidP="008B04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DC3B" w14:textId="77777777" w:rsidR="00E5534B" w:rsidRDefault="00E5534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40788" w14:textId="3A194501" w:rsidR="00C67D68" w:rsidRDefault="007F764C">
    <w:pPr>
      <w:pStyle w:val="Kopfzeile"/>
    </w:pPr>
    <w:r>
      <w:rPr>
        <w:noProof/>
        <w:lang w:eastAsia="de-DE"/>
      </w:rPr>
      <w:drawing>
        <wp:anchor distT="0" distB="0" distL="114300" distR="114300" simplePos="0" relativeHeight="251660800" behindDoc="0" locked="0" layoutInCell="1" allowOverlap="1" wp14:anchorId="7D9BBC3C" wp14:editId="34086266">
          <wp:simplePos x="0" y="0"/>
          <wp:positionH relativeFrom="margin">
            <wp:posOffset>0</wp:posOffset>
          </wp:positionH>
          <wp:positionV relativeFrom="paragraph">
            <wp:posOffset>275465</wp:posOffset>
          </wp:positionV>
          <wp:extent cx="2313940" cy="570865"/>
          <wp:effectExtent l="0" t="0" r="0" b="635"/>
          <wp:wrapThrough wrapText="bothSides">
            <wp:wrapPolygon edited="0">
              <wp:start x="830" y="0"/>
              <wp:lineTo x="0" y="2403"/>
              <wp:lineTo x="0" y="15377"/>
              <wp:lineTo x="830" y="15377"/>
              <wp:lineTo x="356" y="19221"/>
              <wp:lineTo x="474" y="19702"/>
              <wp:lineTo x="1186" y="21143"/>
              <wp:lineTo x="2727" y="21143"/>
              <wp:lineTo x="21458" y="17780"/>
              <wp:lineTo x="21458" y="3844"/>
              <wp:lineTo x="2252" y="0"/>
              <wp:lineTo x="830" y="0"/>
            </wp:wrapPolygon>
          </wp:wrapThrough>
          <wp:docPr id="2" name="Grafik 1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1"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13940" cy="570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B26">
      <w:rPr>
        <w:noProof/>
        <w:lang w:eastAsia="de-DE"/>
      </w:rPr>
      <mc:AlternateContent>
        <mc:Choice Requires="wps">
          <w:drawing>
            <wp:anchor distT="0" distB="0" distL="114300" distR="114300" simplePos="0" relativeHeight="251658752" behindDoc="1" locked="1" layoutInCell="1" allowOverlap="1" wp14:anchorId="56321D67" wp14:editId="038499A2">
              <wp:simplePos x="0" y="0"/>
              <wp:positionH relativeFrom="page">
                <wp:posOffset>3371850</wp:posOffset>
              </wp:positionH>
              <wp:positionV relativeFrom="page">
                <wp:align>top</wp:align>
              </wp:positionV>
              <wp:extent cx="609600" cy="8001000"/>
              <wp:effectExtent l="12700" t="0" r="12700" b="12700"/>
              <wp:wrapNone/>
              <wp:docPr id="10"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99398"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65.5pt;margin-top:0;width:48pt;height:630pt;rotation:-90;flip:y;z-index:-251657728;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" fillcolor="#009fe4" stroked="f">
              <v:textbox inset=",7.2pt,,7.2pt"/>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FD11" w14:textId="77777777" w:rsidR="00E5534B" w:rsidRDefault="00E5534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ED0B0"/>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6D688910"/>
    <w:lvl w:ilvl="0">
      <w:start w:val="1"/>
      <w:numFmt w:val="decimal"/>
      <w:lvlText w:val="%1."/>
      <w:lvlJc w:val="left"/>
      <w:pPr>
        <w:tabs>
          <w:tab w:val="num" w:pos="643"/>
        </w:tabs>
        <w:ind w:left="643" w:hanging="360"/>
      </w:pPr>
    </w:lvl>
  </w:abstractNum>
  <w:abstractNum w:abstractNumId="2" w15:restartNumberingAfterBreak="0">
    <w:nsid w:val="040444BD"/>
    <w:multiLevelType w:val="hybridMultilevel"/>
    <w:tmpl w:val="7DB88CA4"/>
    <w:lvl w:ilvl="0" w:tplc="BA7E1E04">
      <w:start w:val="1"/>
      <w:numFmt w:val="bullet"/>
      <w:lvlText w:val=""/>
      <w:lvlJc w:val="left"/>
      <w:pPr>
        <w:ind w:left="360" w:hanging="360"/>
      </w:pPr>
      <w:rPr>
        <w:rFonts w:ascii="Wingdings" w:hAnsi="Wingdings" w:hint="default"/>
        <w:b w:val="0"/>
        <w:i w:val="0"/>
        <w:color w:val="79C24D"/>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8F322F"/>
    <w:multiLevelType w:val="multilevel"/>
    <w:tmpl w:val="D3563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78540B8"/>
    <w:multiLevelType w:val="hybridMultilevel"/>
    <w:tmpl w:val="4B94FED8"/>
    <w:lvl w:ilvl="0" w:tplc="B10CC412">
      <w:start w:val="1"/>
      <w:numFmt w:val="bullet"/>
      <w:pStyle w:val="Aufzhlungszeichen21"/>
      <w:lvlText w:val="–"/>
      <w:lvlJc w:val="left"/>
      <w:pPr>
        <w:ind w:left="990" w:hanging="360"/>
      </w:pPr>
      <w:rPr>
        <w:rFonts w:ascii="Times New Roman" w:hAnsi="Times New Roman" w:hint="default"/>
        <w:color w:val="E2602F"/>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30449FE"/>
    <w:multiLevelType w:val="hybridMultilevel"/>
    <w:tmpl w:val="99C0F2BC"/>
    <w:lvl w:ilvl="0" w:tplc="CE6463F8">
      <w:start w:val="1"/>
      <w:numFmt w:val="bullet"/>
      <w:pStyle w:val="Listenabsatz"/>
      <w:lvlText w:val="•"/>
      <w:lvlJc w:val="left"/>
      <w:pPr>
        <w:ind w:left="1440" w:hanging="360"/>
      </w:pPr>
      <w:rPr>
        <w:rFonts w:ascii="Times New Roman" w:hAnsi="Times New Roman"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B020B4"/>
    <w:multiLevelType w:val="multilevel"/>
    <w:tmpl w:val="7DB88CA4"/>
    <w:lvl w:ilvl="0">
      <w:start w:val="1"/>
      <w:numFmt w:val="bullet"/>
      <w:lvlText w:val=""/>
      <w:lvlJc w:val="left"/>
      <w:pPr>
        <w:ind w:left="360" w:hanging="360"/>
      </w:pPr>
      <w:rPr>
        <w:rFonts w:ascii="Wingdings" w:hAnsi="Wingdings" w:hint="default"/>
        <w:b w:val="0"/>
        <w:i w:val="0"/>
        <w:color w:val="79C24D"/>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7534338">
    <w:abstractNumId w:val="3"/>
  </w:num>
  <w:num w:numId="2" w16cid:durableId="1840732884">
    <w:abstractNumId w:val="4"/>
  </w:num>
  <w:num w:numId="3" w16cid:durableId="1520771980">
    <w:abstractNumId w:val="5"/>
  </w:num>
  <w:num w:numId="4" w16cid:durableId="109252745">
    <w:abstractNumId w:val="2"/>
  </w:num>
  <w:num w:numId="5" w16cid:durableId="1643463138">
    <w:abstractNumId w:val="6"/>
  </w:num>
  <w:num w:numId="6" w16cid:durableId="1206681143">
    <w:abstractNumId w:val="1"/>
  </w:num>
  <w:num w:numId="7" w16cid:durableId="138616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hideSpelling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F25"/>
    <w:rsid w:val="0003156E"/>
    <w:rsid w:val="000B2C5D"/>
    <w:rsid w:val="000B6D6E"/>
    <w:rsid w:val="00116834"/>
    <w:rsid w:val="00125588"/>
    <w:rsid w:val="001421CE"/>
    <w:rsid w:val="001470F1"/>
    <w:rsid w:val="0016672A"/>
    <w:rsid w:val="00181F90"/>
    <w:rsid w:val="00194FA3"/>
    <w:rsid w:val="001C45E9"/>
    <w:rsid w:val="001C7C15"/>
    <w:rsid w:val="00274659"/>
    <w:rsid w:val="00294574"/>
    <w:rsid w:val="002A0996"/>
    <w:rsid w:val="002B1C90"/>
    <w:rsid w:val="002D5565"/>
    <w:rsid w:val="002E3205"/>
    <w:rsid w:val="00344C99"/>
    <w:rsid w:val="003A77CE"/>
    <w:rsid w:val="003F16D8"/>
    <w:rsid w:val="003F7E3D"/>
    <w:rsid w:val="00530A6E"/>
    <w:rsid w:val="00585E82"/>
    <w:rsid w:val="005A3DD0"/>
    <w:rsid w:val="005A5989"/>
    <w:rsid w:val="005E6756"/>
    <w:rsid w:val="006259A1"/>
    <w:rsid w:val="00662F25"/>
    <w:rsid w:val="006747B0"/>
    <w:rsid w:val="00675F78"/>
    <w:rsid w:val="006A5CC8"/>
    <w:rsid w:val="006C0196"/>
    <w:rsid w:val="006C0AED"/>
    <w:rsid w:val="006C27EC"/>
    <w:rsid w:val="006C444D"/>
    <w:rsid w:val="00701BDD"/>
    <w:rsid w:val="007C083D"/>
    <w:rsid w:val="007F764C"/>
    <w:rsid w:val="0081053B"/>
    <w:rsid w:val="00811147"/>
    <w:rsid w:val="00851BEE"/>
    <w:rsid w:val="00875E27"/>
    <w:rsid w:val="008B0457"/>
    <w:rsid w:val="00967E13"/>
    <w:rsid w:val="00A27BBA"/>
    <w:rsid w:val="00A34118"/>
    <w:rsid w:val="00A9080C"/>
    <w:rsid w:val="00A921C1"/>
    <w:rsid w:val="00AD2609"/>
    <w:rsid w:val="00AE53AB"/>
    <w:rsid w:val="00B04DF0"/>
    <w:rsid w:val="00B11398"/>
    <w:rsid w:val="00B1424D"/>
    <w:rsid w:val="00B27F29"/>
    <w:rsid w:val="00B3753E"/>
    <w:rsid w:val="00B55E3C"/>
    <w:rsid w:val="00B734EF"/>
    <w:rsid w:val="00B75C23"/>
    <w:rsid w:val="00B80F1F"/>
    <w:rsid w:val="00B915E8"/>
    <w:rsid w:val="00BA5824"/>
    <w:rsid w:val="00BB5447"/>
    <w:rsid w:val="00C45F02"/>
    <w:rsid w:val="00C5215E"/>
    <w:rsid w:val="00C67D68"/>
    <w:rsid w:val="00C9060D"/>
    <w:rsid w:val="00C90F50"/>
    <w:rsid w:val="00D00296"/>
    <w:rsid w:val="00D0768F"/>
    <w:rsid w:val="00D11EAF"/>
    <w:rsid w:val="00D141B9"/>
    <w:rsid w:val="00D41208"/>
    <w:rsid w:val="00D76823"/>
    <w:rsid w:val="00E30887"/>
    <w:rsid w:val="00E42E27"/>
    <w:rsid w:val="00E54649"/>
    <w:rsid w:val="00E5534B"/>
    <w:rsid w:val="00E71676"/>
    <w:rsid w:val="00E77895"/>
    <w:rsid w:val="00E87F66"/>
    <w:rsid w:val="00EE14B4"/>
    <w:rsid w:val="00EF4498"/>
    <w:rsid w:val="00F0046E"/>
    <w:rsid w:val="00F01073"/>
    <w:rsid w:val="00F01428"/>
    <w:rsid w:val="00F06AF6"/>
    <w:rsid w:val="00F5564F"/>
    <w:rsid w:val="00F6243E"/>
    <w:rsid w:val="00F93095"/>
    <w:rsid w:val="00FA0816"/>
    <w:rsid w:val="00FB4A42"/>
    <w:rsid w:val="00FD2B26"/>
    <w:rsid w:val="00FD5B25"/>
  </w:rsids>
  <m:mathPr>
    <m:mathFont m:val="Cambria Math"/>
    <m:brkBin m:val="before"/>
    <m:brkBinSub m:val="--"/>
    <m:smallFrac/>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F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de-DE" w:eastAsia="de-DE"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B55E3C"/>
    <w:pPr>
      <w:spacing w:before="60" w:after="60" w:line="264" w:lineRule="auto"/>
    </w:pPr>
    <w:rPr>
      <w:rFonts w:ascii="Times New Roman" w:hAnsi="Times New Roman"/>
      <w:sz w:val="22"/>
      <w:szCs w:val="22"/>
      <w:lang w:eastAsia="en-US"/>
    </w:rPr>
  </w:style>
  <w:style w:type="paragraph" w:styleId="berschrift1">
    <w:name w:val="heading 1"/>
    <w:basedOn w:val="Standard"/>
    <w:next w:val="Standard"/>
    <w:uiPriority w:val="9"/>
    <w:qFormat/>
    <w:rsid w:val="00A27BBA"/>
    <w:pPr>
      <w:keepNext/>
      <w:keepLines/>
      <w:spacing w:before="320" w:after="100"/>
      <w:outlineLvl w:val="0"/>
    </w:pPr>
    <w:rPr>
      <w:rFonts w:ascii="Arial" w:hAnsi="Arial"/>
      <w:b/>
      <w:caps/>
      <w:color w:val="589633"/>
      <w:sz w:val="32"/>
      <w:szCs w:val="40"/>
    </w:rPr>
  </w:style>
  <w:style w:type="paragraph" w:styleId="berschrift2">
    <w:name w:val="heading 2"/>
    <w:basedOn w:val="Standard"/>
    <w:next w:val="Standard"/>
    <w:uiPriority w:val="9"/>
    <w:semiHidden/>
    <w:unhideWhenUsed/>
    <w:rsid w:val="00B734EF"/>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rsid w:val="00B734EF"/>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rsid w:val="00B734EF"/>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rsid w:val="00B734EF"/>
    <w:pPr>
      <w:keepNext/>
      <w:keepLines/>
      <w:spacing w:before="240" w:after="80"/>
      <w:outlineLvl w:val="4"/>
    </w:pPr>
    <w:rPr>
      <w:color w:val="666666"/>
    </w:rPr>
  </w:style>
  <w:style w:type="paragraph" w:styleId="berschrift6">
    <w:name w:val="heading 6"/>
    <w:basedOn w:val="Standard"/>
    <w:next w:val="Standard"/>
    <w:uiPriority w:val="9"/>
    <w:semiHidden/>
    <w:unhideWhenUsed/>
    <w:qFormat/>
    <w:rsid w:val="00B734EF"/>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27BBA"/>
    <w:pPr>
      <w:keepNext/>
      <w:keepLines/>
      <w:spacing w:after="480"/>
    </w:pPr>
    <w:rPr>
      <w:rFonts w:ascii="Arial" w:hAnsi="Arial"/>
      <w:b/>
      <w:caps/>
      <w:noProof/>
      <w:sz w:val="44"/>
      <w:szCs w:val="52"/>
      <w:lang w:val="en-US"/>
    </w:rPr>
  </w:style>
  <w:style w:type="paragraph" w:styleId="Untertitel">
    <w:name w:val="Subtitle"/>
    <w:basedOn w:val="Standard"/>
    <w:next w:val="Standard"/>
    <w:uiPriority w:val="11"/>
    <w:rsid w:val="00B734EF"/>
    <w:pPr>
      <w:keepNext/>
      <w:keepLines/>
      <w:spacing w:after="320"/>
    </w:pPr>
    <w:rPr>
      <w:color w:val="666666"/>
      <w:sz w:val="30"/>
      <w:szCs w:val="30"/>
    </w:rPr>
  </w:style>
  <w:style w:type="paragraph" w:styleId="Kopfzeile">
    <w:name w:val="header"/>
    <w:basedOn w:val="Standard"/>
    <w:link w:val="KopfzeileZchn"/>
    <w:uiPriority w:val="99"/>
    <w:unhideWhenUsed/>
    <w:rsid w:val="002D5565"/>
    <w:pPr>
      <w:tabs>
        <w:tab w:val="center" w:pos="4320"/>
        <w:tab w:val="right" w:pos="8640"/>
      </w:tabs>
      <w:spacing w:line="240" w:lineRule="auto"/>
    </w:pPr>
  </w:style>
  <w:style w:type="character" w:customStyle="1" w:styleId="KopfzeileZchn">
    <w:name w:val="Kopfzeile Zchn"/>
    <w:basedOn w:val="Absatz-Standardschriftart"/>
    <w:link w:val="Kopfzeile"/>
    <w:uiPriority w:val="99"/>
    <w:rsid w:val="002D5565"/>
  </w:style>
  <w:style w:type="paragraph" w:styleId="Fuzeile">
    <w:name w:val="footer"/>
    <w:basedOn w:val="Standard"/>
    <w:link w:val="FuzeileZchn"/>
    <w:uiPriority w:val="99"/>
    <w:unhideWhenUsed/>
    <w:rsid w:val="002D5565"/>
    <w:pPr>
      <w:tabs>
        <w:tab w:val="center" w:pos="4320"/>
        <w:tab w:val="right" w:pos="8640"/>
      </w:tabs>
      <w:spacing w:line="240" w:lineRule="auto"/>
    </w:pPr>
  </w:style>
  <w:style w:type="character" w:customStyle="1" w:styleId="FuzeileZchn">
    <w:name w:val="Fußzeile Zchn"/>
    <w:basedOn w:val="Absatz-Standardschriftart"/>
    <w:link w:val="Fuzeile"/>
    <w:uiPriority w:val="99"/>
    <w:rsid w:val="002D5565"/>
  </w:style>
  <w:style w:type="paragraph" w:customStyle="1" w:styleId="Checkliste">
    <w:name w:val="Checkliste"/>
    <w:basedOn w:val="Standard"/>
    <w:qFormat/>
    <w:rsid w:val="00B11398"/>
    <w:pPr>
      <w:spacing w:line="216" w:lineRule="auto"/>
      <w:ind w:left="357" w:hanging="357"/>
    </w:pPr>
  </w:style>
  <w:style w:type="paragraph" w:customStyle="1" w:styleId="Aufzhlungszeichen21">
    <w:name w:val="Aufzählungszeichen 21"/>
    <w:basedOn w:val="Standard"/>
    <w:rsid w:val="0081053B"/>
    <w:pPr>
      <w:numPr>
        <w:numId w:val="2"/>
      </w:numPr>
    </w:pPr>
  </w:style>
  <w:style w:type="paragraph" w:styleId="Listenabsatz">
    <w:name w:val="List Paragraph"/>
    <w:basedOn w:val="Standard"/>
    <w:uiPriority w:val="34"/>
    <w:rsid w:val="0081053B"/>
    <w:pPr>
      <w:numPr>
        <w:numId w:val="3"/>
      </w:numPr>
      <w:ind w:left="720"/>
      <w:contextualSpacing/>
    </w:pPr>
  </w:style>
  <w:style w:type="paragraph" w:styleId="Sprechblasentext">
    <w:name w:val="Balloon Text"/>
    <w:basedOn w:val="Standard"/>
    <w:link w:val="SprechblasentextZchn"/>
    <w:semiHidden/>
    <w:unhideWhenUsed/>
    <w:rsid w:val="006C444D"/>
    <w:pPr>
      <w:spacing w:before="0" w:after="0" w:line="240" w:lineRule="auto"/>
    </w:pPr>
    <w:rPr>
      <w:rFonts w:ascii="Tahoma" w:hAnsi="Tahoma" w:cs="Tahoma"/>
      <w:sz w:val="16"/>
      <w:szCs w:val="16"/>
    </w:rPr>
  </w:style>
  <w:style w:type="character" w:customStyle="1" w:styleId="SprechblasentextZchn">
    <w:name w:val="Sprechblasentext Zchn"/>
    <w:link w:val="Sprechblasentext"/>
    <w:semiHidden/>
    <w:rsid w:val="006C444D"/>
    <w:rPr>
      <w:rFonts w:ascii="Tahoma" w:hAnsi="Tahoma" w:cs="Tahoma"/>
      <w:sz w:val="16"/>
      <w:szCs w:val="16"/>
    </w:rPr>
  </w:style>
  <w:style w:type="table" w:customStyle="1" w:styleId="TableNormal">
    <w:name w:val="Table Normal"/>
    <w:uiPriority w:val="2"/>
    <w:semiHidden/>
    <w:unhideWhenUsed/>
    <w:qFormat/>
    <w:rsid w:val="00811147"/>
    <w:pPr>
      <w:widowControl w:val="0"/>
      <w:autoSpaceDE w:val="0"/>
      <w:autoSpaceDN w:val="0"/>
    </w:pPr>
    <w:rPr>
      <w:rFonts w:ascii="Times New Roman" w:eastAsia="Times New Roman" w:hAnsi="Times New Roman" w:cs="Times New Roman"/>
      <w:sz w:val="22"/>
      <w:szCs w:val="22"/>
      <w:lang w:val="en-US" w:eastAsia="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811147"/>
    <w:pPr>
      <w:widowControl w:val="0"/>
      <w:autoSpaceDE w:val="0"/>
      <w:autoSpaceDN w:val="0"/>
      <w:spacing w:before="0" w:after="0" w:line="240" w:lineRule="auto"/>
    </w:pPr>
    <w:rPr>
      <w:rFonts w:ascii="Arial" w:hAnsi="Arial"/>
      <w:sz w:val="20"/>
      <w:szCs w:val="20"/>
      <w:lang w:eastAsia="de-DE" w:bidi="de-DE"/>
    </w:rPr>
  </w:style>
  <w:style w:type="character" w:customStyle="1" w:styleId="TextkrperZchn">
    <w:name w:val="Textkörper Zchn"/>
    <w:link w:val="Textkrper"/>
    <w:uiPriority w:val="1"/>
    <w:rsid w:val="00811147"/>
    <w:rPr>
      <w:sz w:val="20"/>
      <w:szCs w:val="20"/>
      <w:lang w:eastAsia="de-DE" w:bidi="de-DE"/>
    </w:rPr>
  </w:style>
  <w:style w:type="paragraph" w:customStyle="1" w:styleId="TableParagraph">
    <w:name w:val="Table Paragraph"/>
    <w:basedOn w:val="Standard"/>
    <w:uiPriority w:val="1"/>
    <w:qFormat/>
    <w:rsid w:val="00811147"/>
    <w:pPr>
      <w:widowControl w:val="0"/>
      <w:autoSpaceDE w:val="0"/>
      <w:autoSpaceDN w:val="0"/>
      <w:spacing w:before="0" w:after="0" w:line="240" w:lineRule="auto"/>
    </w:pPr>
    <w:rPr>
      <w:rFonts w:ascii="Arial" w:hAnsi="Arial"/>
      <w:lang w:eastAsia="de-DE" w:bidi="de-DE"/>
    </w:rPr>
  </w:style>
  <w:style w:type="character" w:customStyle="1" w:styleId="TitelZchn">
    <w:name w:val="Titel Zchn"/>
    <w:link w:val="Titel"/>
    <w:uiPriority w:val="10"/>
    <w:rsid w:val="00530A6E"/>
    <w:rPr>
      <w:b/>
      <w:caps/>
      <w:noProof/>
      <w:sz w:val="44"/>
      <w:szCs w:val="52"/>
      <w:lang w:val="en-US"/>
    </w:rPr>
  </w:style>
  <w:style w:type="paragraph" w:customStyle="1" w:styleId="HL">
    <w:name w:val="HL"/>
    <w:qFormat/>
    <w:rsid w:val="007C083D"/>
    <w:pPr>
      <w:spacing w:before="100" w:beforeAutospacing="1" w:after="240"/>
    </w:pPr>
    <w:rPr>
      <w:b/>
      <w:caps/>
      <w:color w:val="009FE4"/>
      <w:sz w:val="32"/>
      <w:szCs w:val="40"/>
      <w:lang w:eastAsia="en-US" w:bidi="de-DE"/>
    </w:rPr>
  </w:style>
  <w:style w:type="paragraph" w:customStyle="1" w:styleId="UTWGrund">
    <w:name w:val="UTW Grund"/>
    <w:basedOn w:val="Standard"/>
    <w:uiPriority w:val="99"/>
    <w:rsid w:val="00E87F66"/>
    <w:pPr>
      <w:autoSpaceDE w:val="0"/>
      <w:autoSpaceDN w:val="0"/>
      <w:adjustRightInd w:val="0"/>
      <w:spacing w:before="113" w:after="0" w:line="230" w:lineRule="atLeast"/>
      <w:jc w:val="both"/>
      <w:textAlignment w:val="center"/>
    </w:pPr>
    <w:rPr>
      <w:rFonts w:ascii="Calibri Light" w:eastAsiaTheme="minorHAnsi" w:hAnsi="Calibri Light" w:cs="Calibri Light"/>
      <w:color w:val="000000"/>
      <w:sz w:val="19"/>
      <w:szCs w:val="19"/>
    </w:rPr>
  </w:style>
  <w:style w:type="paragraph" w:customStyle="1" w:styleId="Vorspann">
    <w:name w:val="Vorspann"/>
    <w:qFormat/>
    <w:rsid w:val="007C083D"/>
    <w:pPr>
      <w:widowControl w:val="0"/>
      <w:autoSpaceDE w:val="0"/>
      <w:autoSpaceDN w:val="0"/>
      <w:spacing w:after="240"/>
    </w:pPr>
    <w:rPr>
      <w:rFonts w:ascii="Arial Narrow" w:eastAsiaTheme="minorHAnsi" w:hAnsi="Arial Narrow" w:cs="Calibri"/>
      <w:b/>
      <w:bCs/>
      <w:color w:val="000000"/>
      <w:spacing w:val="-2"/>
      <w:sz w:val="19"/>
      <w:szCs w:val="19"/>
      <w:lang w:eastAsia="en-US"/>
    </w:rPr>
  </w:style>
  <w:style w:type="paragraph" w:customStyle="1" w:styleId="VorspannGrundtexte">
    <w:name w:val="Vorspann (Grundtexte)"/>
    <w:basedOn w:val="Standard"/>
    <w:next w:val="Standard"/>
    <w:uiPriority w:val="99"/>
    <w:rsid w:val="00A9080C"/>
    <w:pPr>
      <w:tabs>
        <w:tab w:val="left" w:pos="280"/>
        <w:tab w:val="left" w:pos="480"/>
      </w:tabs>
      <w:suppressAutoHyphens/>
      <w:autoSpaceDE w:val="0"/>
      <w:autoSpaceDN w:val="0"/>
      <w:adjustRightInd w:val="0"/>
      <w:spacing w:before="85" w:after="0" w:line="258" w:lineRule="atLeast"/>
      <w:jc w:val="both"/>
      <w:textAlignment w:val="center"/>
    </w:pPr>
    <w:rPr>
      <w:rFonts w:ascii="Arial Narrow" w:hAnsi="Arial Narrow" w:cs="Arial Narrow"/>
      <w:b/>
      <w:bCs/>
      <w:color w:val="000000"/>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OM_Medien/OM/VNR/GSA/GSA%202022/GSO%20XX-2022/Vorlagen/Titel_Kategorie_Arbeitstyp.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2977B4-CA4C-4D04-8724-67635B1F8B0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AF0A2BA-F515-4E77-BDE4-F4F8FD7AF55D}">
  <ds:schemaRefs>
    <ds:schemaRef ds:uri="http://schemas.microsoft.com/sharepoint/v3/contenttype/forms"/>
  </ds:schemaRefs>
</ds:datastoreItem>
</file>

<file path=customXml/itemProps3.xml><?xml version="1.0" encoding="utf-8"?>
<ds:datastoreItem xmlns:ds="http://schemas.openxmlformats.org/officeDocument/2006/customXml" ds:itemID="{4997A65B-62E7-41D1-AD2B-A1B0DB689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Titel_Kategorie_Arbeitstyp.dotx</Template>
  <TotalTime>0</TotalTime>
  <Pages>1</Pages>
  <Words>183</Words>
  <Characters>1481</Characters>
  <Application>Microsoft Office Word</Application>
  <DocSecurity>0</DocSecurity>
  <Lines>56</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2022-01-13T11:44:00Z</dcterms:created>
  <dcterms:modified xsi:type="dcterms:W3CDTF">2026-06-24T12:54:00Z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marmil@microsoft.com</vt:lpwstr>
  </property>
  <property fmtid="{D5CDD505-2E9C-101B-9397-08002B2CF9AE}" pid="5" name="MSIP_Label_f42aa342-8706-4288-bd11-ebb85995028c_SetDate">
    <vt:lpwstr>2018-06-29T15:45:29.3289129Z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0x010100DEEA25CC0A0AC24199CDC46C25B8B0BC</vt:lpwstr>
  </property>
</Properties>
</file>